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A55B2F">
        <w:trPr>
          <w:trHeight w:val="3119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F316F9">
            <w:pPr>
              <w:widowControl w:val="0"/>
              <w:autoSpaceDE w:val="0"/>
              <w:spacing w:line="254" w:lineRule="auto"/>
              <w:ind w:firstLine="720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3" cy="676271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3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160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МИНИСТЕРСТВО НАУКИ И ВЫСШЕГО ОБРАЗОВАНИЯ</w:t>
            </w:r>
          </w:p>
          <w:p w:rsidR="00A55B2F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РОССИЙСКОЙ ФЕДЕРАЦИИ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lef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A55B2F" w:rsidRDefault="00F316F9">
            <w:pPr>
              <w:widowControl w:val="0"/>
              <w:autoSpaceDE w:val="0"/>
              <w:spacing w:after="120" w:line="254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A55B2F">
        <w:trPr>
          <w:trHeight w:val="472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F316F9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A55B2F" w:rsidRDefault="00FC4367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«Социальные и спортивные педагогические технологии</w:t>
            </w:r>
            <w:r w:rsidR="00F316F9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A55B2F" w:rsidRDefault="00A55B2F">
      <w:pPr>
        <w:widowControl w:val="0"/>
        <w:autoSpaceDE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 w:rsidP="00447160">
      <w:pPr>
        <w:spacing w:line="240" w:lineRule="auto"/>
        <w:ind w:firstLine="0"/>
        <w:jc w:val="left"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Составитель </w:t>
      </w:r>
      <w:r w:rsidRPr="00356E3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="00794F30">
        <w:rPr>
          <w:rFonts w:ascii="Times New Roman" w:hAnsi="Times New Roman"/>
          <w:sz w:val="28"/>
          <w:szCs w:val="28"/>
        </w:rPr>
        <w:t xml:space="preserve"> кандидат</w:t>
      </w:r>
      <w:r w:rsidR="00794F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педагогических наук, доцент </w:t>
      </w:r>
      <w:proofErr w:type="spellStart"/>
      <w:r w:rsidR="00FC4367">
        <w:rPr>
          <w:rFonts w:ascii="Times New Roman" w:hAnsi="Times New Roman"/>
          <w:color w:val="000000"/>
          <w:sz w:val="28"/>
          <w:szCs w:val="28"/>
          <w:lang w:eastAsia="ru-RU"/>
        </w:rPr>
        <w:t>Горбаткова</w:t>
      </w:r>
      <w:proofErr w:type="spellEnd"/>
      <w:r w:rsidR="00FC4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О.И.</w:t>
      </w: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F316F9">
      <w:pPr>
        <w:spacing w:line="240" w:lineRule="auto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Методические указания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 задания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 контрольной работе</w:t>
      </w:r>
    </w:p>
    <w:p w:rsidR="00A55B2F" w:rsidRDefault="00F316F9">
      <w:pPr>
        <w:spacing w:line="240" w:lineRule="auto"/>
        <w:ind w:firstLine="0"/>
        <w:jc w:val="center"/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дисциплине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FC4367">
        <w:rPr>
          <w:rFonts w:ascii="Times New Roman" w:hAnsi="Times New Roman"/>
          <w:b/>
          <w:color w:val="000000"/>
          <w:sz w:val="28"/>
          <w:szCs w:val="20"/>
        </w:rPr>
        <w:t xml:space="preserve">Методология и методы организации </w:t>
      </w:r>
      <w:proofErr w:type="spellStart"/>
      <w:r w:rsidR="00FC4367">
        <w:rPr>
          <w:rFonts w:ascii="Times New Roman" w:hAnsi="Times New Roman"/>
          <w:b/>
          <w:color w:val="000000"/>
          <w:sz w:val="28"/>
          <w:szCs w:val="20"/>
        </w:rPr>
        <w:t>пихолого</w:t>
      </w:r>
      <w:proofErr w:type="spellEnd"/>
      <w:r w:rsidR="00FC4367">
        <w:rPr>
          <w:rFonts w:ascii="Times New Roman" w:hAnsi="Times New Roman"/>
          <w:b/>
          <w:color w:val="000000"/>
          <w:sz w:val="28"/>
          <w:szCs w:val="20"/>
        </w:rPr>
        <w:t>-педагогических исследований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для студентов заочной формы обучения </w:t>
      </w: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>
      <w:pPr>
        <w:widowControl w:val="0"/>
        <w:autoSpaceDE w:val="0"/>
        <w:spacing w:line="240" w:lineRule="auto"/>
        <w:ind w:firstLine="0"/>
        <w:jc w:val="center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подготовки </w:t>
      </w:r>
      <w:r w:rsidR="00686599">
        <w:rPr>
          <w:rFonts w:ascii="Times New Roman" w:eastAsia="Times New Roman" w:hAnsi="Times New Roman"/>
          <w:color w:val="000000"/>
          <w:sz w:val="28"/>
          <w:szCs w:val="28"/>
        </w:rPr>
        <w:t>37.04.01 Психология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 w:rsidP="00FC4367">
      <w:pPr>
        <w:widowControl w:val="0"/>
        <w:autoSpaceDE w:val="0"/>
        <w:spacing w:line="240" w:lineRule="auto"/>
        <w:ind w:firstLine="0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F316F9" w:rsidP="00356E35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г. Ростов-на-Дону</w:t>
      </w:r>
    </w:p>
    <w:p w:rsidR="00A55B2F" w:rsidRDefault="00FC4367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2023-2024</w:t>
      </w:r>
      <w:r w:rsidR="00F316F9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A55B2F" w:rsidRDefault="00A55B2F" w:rsidP="00356E35">
      <w:pPr>
        <w:widowControl w:val="0"/>
        <w:autoSpaceDE w:val="0"/>
        <w:spacing w:line="240" w:lineRule="auto"/>
        <w:contextualSpacing/>
        <w:rPr>
          <w:rFonts w:ascii="Arial" w:hAnsi="Arial" w:cs="Arial"/>
          <w:sz w:val="20"/>
          <w:szCs w:val="20"/>
          <w:lang w:eastAsia="ru-RU"/>
        </w:rPr>
      </w:pPr>
    </w:p>
    <w:p w:rsidR="00A55B2F" w:rsidRDefault="00F316F9" w:rsidP="00356E3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A55B2F" w:rsidRDefault="00F316F9" w:rsidP="00356E35">
      <w:pPr>
        <w:spacing w:line="240" w:lineRule="auto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color w:val="000000"/>
          <w:sz w:val="28"/>
          <w:szCs w:val="28"/>
        </w:rPr>
        <w:t xml:space="preserve">подготовки </w:t>
      </w:r>
      <w:r w:rsidR="00686599">
        <w:rPr>
          <w:rFonts w:ascii="Times New Roman" w:eastAsia="Times New Roman" w:hAnsi="Times New Roman"/>
          <w:color w:val="000000"/>
          <w:sz w:val="28"/>
          <w:szCs w:val="28"/>
        </w:rPr>
        <w:t>37.04.01 Психология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5B2F" w:rsidRDefault="00A55B2F" w:rsidP="00356E35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356E35" w:rsidRDefault="00F316F9" w:rsidP="00356E35">
      <w:pPr>
        <w:pStyle w:val="a3"/>
        <w:numPr>
          <w:ilvl w:val="0"/>
          <w:numId w:val="2"/>
        </w:numPr>
        <w:spacing w:line="240" w:lineRule="auto"/>
        <w:ind w:firstLine="709"/>
        <w:contextualSpacing/>
        <w:rPr>
          <w:rFonts w:ascii="Times New Roman" w:hAnsi="Times New Roman"/>
        </w:rPr>
      </w:pPr>
      <w:proofErr w:type="gramStart"/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1</w:t>
      </w:r>
      <w:r w:rsidRPr="00447160">
        <w:rPr>
          <w:rFonts w:ascii="Times New Roman" w:hAnsi="Times New Roman"/>
          <w:sz w:val="28"/>
          <w:szCs w:val="28"/>
        </w:rPr>
        <w:t xml:space="preserve"> – Список 1:</w:t>
      </w:r>
      <w:proofErr w:type="gramEnd"/>
      <w:r w:rsidRPr="004471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7160">
        <w:rPr>
          <w:rFonts w:ascii="Times New Roman" w:hAnsi="Times New Roman"/>
          <w:sz w:val="28"/>
          <w:szCs w:val="28"/>
        </w:rPr>
        <w:t xml:space="preserve">Темы </w:t>
      </w:r>
      <w:r w:rsidRPr="00356E35">
        <w:rPr>
          <w:rFonts w:ascii="Times New Roman" w:hAnsi="Times New Roman"/>
          <w:sz w:val="28"/>
          <w:szCs w:val="28"/>
        </w:rPr>
        <w:t>контрольных работ – мультимедийных проектов по учебной дисциплине);</w:t>
      </w:r>
      <w:proofErr w:type="gramEnd"/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 w:rsidRPr="00447160">
        <w:rPr>
          <w:rFonts w:ascii="Times New Roman" w:hAnsi="Times New Roman"/>
          <w:sz w:val="28"/>
          <w:szCs w:val="28"/>
        </w:rPr>
        <w:t>выполнения контрольных соответствуют порядковому номеру в группе: 1 вопрос –</w:t>
      </w:r>
      <w:r w:rsidRPr="004471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7160">
        <w:rPr>
          <w:rFonts w:ascii="Times New Roman" w:hAnsi="Times New Roman"/>
          <w:sz w:val="28"/>
          <w:szCs w:val="28"/>
        </w:rPr>
        <w:t>с 1 по 11 номер, 2 вопрос – с 12 по 22 номер (1 вариант: вопрос №1 и вопрос № 12; 2 вариант: вопрос №2 и вопрос № 13) согласно списку вопросов и списку группы.</w:t>
      </w:r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447160" w:rsidRDefault="00F316F9" w:rsidP="00356E35">
      <w:pPr>
        <w:pStyle w:val="a3"/>
        <w:numPr>
          <w:ilvl w:val="0"/>
          <w:numId w:val="3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3</w:t>
      </w:r>
      <w:r w:rsidRPr="00447160">
        <w:rPr>
          <w:rFonts w:ascii="Times New Roman" w:hAnsi="Times New Roman"/>
          <w:sz w:val="28"/>
          <w:szCs w:val="28"/>
        </w:rPr>
        <w:t xml:space="preserve"> - список 2);</w:t>
      </w:r>
    </w:p>
    <w:p w:rsidR="00A55B2F" w:rsidRPr="00447160" w:rsidRDefault="00F316F9" w:rsidP="00356E35">
      <w:pPr>
        <w:pStyle w:val="a3"/>
        <w:numPr>
          <w:ilvl w:val="0"/>
          <w:numId w:val="3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47160"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 w:rsidRPr="00447160">
        <w:rPr>
          <w:rFonts w:ascii="Times New Roman" w:hAnsi="Times New Roman"/>
          <w:b/>
          <w:sz w:val="28"/>
          <w:szCs w:val="28"/>
        </w:rPr>
        <w:t>Приложение 2</w:t>
      </w:r>
      <w:r w:rsidRPr="00447160">
        <w:rPr>
          <w:rFonts w:ascii="Times New Roman" w:hAnsi="Times New Roman"/>
          <w:sz w:val="28"/>
          <w:szCs w:val="28"/>
        </w:rPr>
        <w:t>, таблица 1, столбец №3).</w:t>
      </w:r>
    </w:p>
    <w:p w:rsidR="00A55B2F" w:rsidRPr="00447160" w:rsidRDefault="00F316F9" w:rsidP="00356E35">
      <w:pPr>
        <w:pStyle w:val="a3"/>
        <w:numPr>
          <w:ilvl w:val="0"/>
          <w:numId w:val="1"/>
        </w:numPr>
        <w:spacing w:line="240" w:lineRule="auto"/>
        <w:ind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>Сдача</w:t>
      </w:r>
      <w:r w:rsidRPr="00447160">
        <w:rPr>
          <w:rFonts w:ascii="Times New Roman" w:hAnsi="Times New Roman"/>
          <w:sz w:val="28"/>
          <w:szCs w:val="28"/>
        </w:rPr>
        <w:t xml:space="preserve"> на проверку контрольных работ и презентаций к ним в рамках учебного плана и графика (на оценку влияет </w:t>
      </w:r>
      <w:r w:rsidRPr="00447160">
        <w:rPr>
          <w:rFonts w:ascii="Times New Roman" w:hAnsi="Times New Roman"/>
          <w:b/>
          <w:sz w:val="28"/>
          <w:szCs w:val="28"/>
        </w:rPr>
        <w:t>срок</w:t>
      </w:r>
      <w:r w:rsidRPr="00447160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55B2F" w:rsidRDefault="00F316F9">
      <w:pPr>
        <w:pageBreakBefore/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A55B2F" w:rsidRDefault="00F316F9">
      <w:pPr>
        <w:tabs>
          <w:tab w:val="left" w:pos="1134"/>
        </w:tabs>
        <w:ind w:left="1134" w:right="-57" w:hanging="567"/>
        <w:jc w:val="center"/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«</w:t>
      </w:r>
      <w:r w:rsidR="00794F3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Методология </w:t>
      </w:r>
      <w:r w:rsidR="00FC436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 методы организации психолого-педагогических исследований</w:t>
      </w:r>
      <w:r>
        <w:rPr>
          <w:b/>
          <w:i/>
          <w:sz w:val="28"/>
          <w:szCs w:val="28"/>
        </w:rPr>
        <w:t>»</w:t>
      </w:r>
    </w:p>
    <w:p w:rsidR="00A55B2F" w:rsidRDefault="00F316F9" w:rsidP="00044E52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</w:t>
      </w:r>
    </w:p>
    <w:p w:rsidR="00A55B2F" w:rsidRDefault="00356E35">
      <w:pPr>
        <w:autoSpaceDE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        </w:t>
      </w:r>
      <w:r w:rsidR="00F316F9">
        <w:rPr>
          <w:rFonts w:ascii="Times New Roman" w:hAnsi="Times New Roman"/>
          <w:b/>
          <w:bCs/>
          <w:iCs/>
          <w:sz w:val="28"/>
          <w:szCs w:val="28"/>
        </w:rPr>
        <w:t>Подготовка контрольной работы.</w:t>
      </w:r>
    </w:p>
    <w:p w:rsidR="00A55B2F" w:rsidRDefault="00F316F9" w:rsidP="00356E35">
      <w:pPr>
        <w:autoSpaceDE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A55B2F" w:rsidRDefault="00A55B2F">
      <w:pPr>
        <w:rPr>
          <w:rFonts w:ascii="Times New Roman" w:hAnsi="Times New Roman"/>
          <w:sz w:val="24"/>
          <w:szCs w:val="24"/>
        </w:rPr>
      </w:pPr>
    </w:p>
    <w:p w:rsidR="00A55B2F" w:rsidRDefault="00F316F9" w:rsidP="00356E35">
      <w:pPr>
        <w:tabs>
          <w:tab w:val="left" w:pos="0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686599" w:rsidRDefault="00686599" w:rsidP="00356E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1. Психодиагностика как наука и сфера практической деятельности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2.</w:t>
      </w:r>
      <w:r w:rsidRPr="00686599">
        <w:rPr>
          <w:rFonts w:ascii="Times New Roman" w:hAnsi="Times New Roman"/>
          <w:sz w:val="28"/>
          <w:szCs w:val="28"/>
        </w:rPr>
        <w:tab/>
        <w:t>История      развития      психодиагностики,     основные     проблемы, современное состояние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3. Психометрические основы психодиагностики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4. Классифи</w:t>
      </w:r>
      <w:r>
        <w:rPr>
          <w:rFonts w:ascii="Times New Roman" w:hAnsi="Times New Roman"/>
          <w:sz w:val="28"/>
          <w:szCs w:val="28"/>
        </w:rPr>
        <w:t>кация</w:t>
      </w:r>
      <w:r>
        <w:rPr>
          <w:rFonts w:ascii="Times New Roman" w:hAnsi="Times New Roman"/>
          <w:sz w:val="28"/>
          <w:szCs w:val="28"/>
        </w:rPr>
        <w:tab/>
        <w:t>и характеристика</w:t>
      </w:r>
      <w:r>
        <w:rPr>
          <w:rFonts w:ascii="Times New Roman" w:hAnsi="Times New Roman"/>
          <w:sz w:val="28"/>
          <w:szCs w:val="28"/>
        </w:rPr>
        <w:tab/>
        <w:t xml:space="preserve">основных </w:t>
      </w:r>
      <w:r w:rsidRPr="00686599">
        <w:rPr>
          <w:rFonts w:ascii="Times New Roman" w:hAnsi="Times New Roman"/>
          <w:sz w:val="28"/>
          <w:szCs w:val="28"/>
        </w:rPr>
        <w:t>психодиагностических методов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5. Научные методы постановки психологического диагноза, принципы построения психологического заключения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6. Диагностика интеллектуального развития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7.</w:t>
      </w:r>
      <w:r w:rsidRPr="00686599">
        <w:rPr>
          <w:rFonts w:ascii="Times New Roman" w:hAnsi="Times New Roman"/>
          <w:sz w:val="28"/>
          <w:szCs w:val="28"/>
        </w:rPr>
        <w:tab/>
        <w:t>Психодиагностика развития младенцев и дошкольников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8.</w:t>
      </w:r>
      <w:r w:rsidRPr="00686599">
        <w:rPr>
          <w:rFonts w:ascii="Times New Roman" w:hAnsi="Times New Roman"/>
          <w:sz w:val="28"/>
          <w:szCs w:val="28"/>
        </w:rPr>
        <w:tab/>
        <w:t xml:space="preserve"> Понятие психологической готовности к школе. Основные проблемы и подходы. Проблемы диагностики школьной </w:t>
      </w:r>
      <w:proofErr w:type="spellStart"/>
      <w:r w:rsidRPr="00686599">
        <w:rPr>
          <w:rFonts w:ascii="Times New Roman" w:hAnsi="Times New Roman"/>
          <w:sz w:val="28"/>
          <w:szCs w:val="28"/>
        </w:rPr>
        <w:t>дезадаптации</w:t>
      </w:r>
      <w:proofErr w:type="spellEnd"/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9. Диагностика креативности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10. Диагностика специальных способностей. Понятие одаренности в представлениях российских ученых. Тесты достижений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 xml:space="preserve">Тема 11. Психодиагностические исследования личности. Личностные опросники 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 xml:space="preserve">Тема 12. Проективные методы. 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 xml:space="preserve">Тема 13. Диагностика социальных отношений, общения и </w:t>
      </w:r>
      <w:proofErr w:type="gramStart"/>
      <w:r w:rsidRPr="00686599">
        <w:rPr>
          <w:rFonts w:ascii="Times New Roman" w:hAnsi="Times New Roman"/>
          <w:sz w:val="28"/>
          <w:szCs w:val="28"/>
        </w:rPr>
        <w:t>совместной</w:t>
      </w:r>
      <w:proofErr w:type="gramEnd"/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деятельности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14. Социально-психологические методы исследования семьи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 xml:space="preserve">Тема 15. Психодиагностика психических состояний 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16. Психодиагностика межличностных отношений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17. Диагностика готовности к школе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lastRenderedPageBreak/>
        <w:t>Тема 18.  Структура психодиагностического процесса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19. Психодиагностика психофизических особенностей и специальных способностей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  <w:r w:rsidRPr="00686599">
        <w:rPr>
          <w:rFonts w:ascii="Times New Roman" w:hAnsi="Times New Roman"/>
          <w:sz w:val="28"/>
          <w:szCs w:val="28"/>
        </w:rPr>
        <w:t>Тема 20.  Психодиагностика черт личности и самосознания</w:t>
      </w:r>
    </w:p>
    <w:p w:rsidR="00686599" w:rsidRPr="00686599" w:rsidRDefault="00686599" w:rsidP="0068659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94F30" w:rsidRPr="00794F30" w:rsidRDefault="00794F30" w:rsidP="00794F3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94F30">
        <w:rPr>
          <w:rFonts w:ascii="Times New Roman" w:hAnsi="Times New Roman"/>
          <w:b/>
          <w:sz w:val="28"/>
          <w:szCs w:val="28"/>
        </w:rPr>
        <w:t>Вопросы к экзамену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1. Понятие о научном исследовании. Природа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2. Характеристика сходства и различий научной и практической педагогической деятельности.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3. Виды знаний в педагогике.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4. Природа и функции образовательных инноваций. Источники и условия научно-педагогического поиска.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5. Теоретические основы и проблематика современных научно-педагогических исследований.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6. Виды научных исследований. Фундаментальное и прикладное исследование в области, входящей.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7. Понятийный аппарат исследования, его особенности.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8. Основные функции понятийного аппарата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9. Компоненты научного аппарата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10.  Понятие о методологии. Структура методологии педагогики.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11. Методологические подходы в современных научно-педагогических исследованиях.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12. Понятие логики научного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13. Проблема и тема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14. Объект и предмет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15. Цели и задачи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16. Идея, замысел и гипотеза как теоретическое ядро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17. Мониторинг процесса и результатов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18. Методология, метод и методика, их специфика и взаимосвязь.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19. Классификация методов исследования в педагогике.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20. Исследовательские возможности различных методов. Специфика выбора методов в научно - педагогических исследованиях.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21. Подходы и техники обработки результатов исследования. Анализ результатов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22. Способы интерпретации результатов исследования. Составление заключения и практических рекомендаций на основе исследовательских данных.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23. Понятие апробации научно-педагогического исследования. Формы апробации. Значение апробации.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lastRenderedPageBreak/>
        <w:t>24. Требования к оформлению результатов исследования. Стиль изложения результатов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25. Виды изложения результатов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26. Факторы опытно-экспериментальной работы в современных учреждениях образования.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27. Содержание опытно-экспериментальной работы в современных учреждениях образования.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28. Этапы опытно-экспериментальной работы в современных учреждениях образования, их содержание.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29. Исследовательский проект и исследовательская программа в системе опытно-экспериментальной работы в современных учреждениях образования.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30. Роль эмпирического знания в разработке и проведении научно - 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 xml:space="preserve">31. </w:t>
      </w:r>
      <w:proofErr w:type="gramStart"/>
      <w:r w:rsidRPr="00794F30">
        <w:rPr>
          <w:rFonts w:ascii="Times New Roman" w:hAnsi="Times New Roman"/>
          <w:sz w:val="28"/>
          <w:szCs w:val="28"/>
        </w:rPr>
        <w:t>Характеристика основных эмпирических методов исследования: наблюдение, беседа, опрос, интервью, анкетирование, тестирование, социометрический метод исследования, метод рейтинговой оценки, метод диагностических ситуаций, изучение продуктов деятельности, научная экспедиция, метод контент-анализа, метод эксперимента</w:t>
      </w:r>
      <w:proofErr w:type="gramEnd"/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32. Сущностная характеристика педагогического эксперимента.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33. Функциональные особенности и основные задачи педагогического эксперимента.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34. Основные виды педагогического эксперимента.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35.  Характеристика этапов педагогического эксперимента.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36. Логика и ее роль в процессе научного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37. Особенности форм логики в исследовательской работе.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38.  Законы логики и их соблюдение в научно - педагогическом исследовании.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 xml:space="preserve">39. Характерные черты качественных методов анализа результатов научно </w:t>
      </w:r>
      <w:proofErr w:type="gramStart"/>
      <w:r w:rsidRPr="00794F30">
        <w:rPr>
          <w:rFonts w:ascii="Times New Roman" w:hAnsi="Times New Roman"/>
          <w:sz w:val="28"/>
          <w:szCs w:val="28"/>
        </w:rPr>
        <w:t>–п</w:t>
      </w:r>
      <w:proofErr w:type="gramEnd"/>
      <w:r w:rsidRPr="00794F30">
        <w:rPr>
          <w:rFonts w:ascii="Times New Roman" w:hAnsi="Times New Roman"/>
          <w:sz w:val="28"/>
          <w:szCs w:val="28"/>
        </w:rPr>
        <w:t>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40. Характерные черты количественных методов анализа результатов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41. Особенности апробации результатов научно-педагогического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42. Критерии, показатели и уровни эффективности проведения научно</w:t>
      </w:r>
      <w:proofErr w:type="gramStart"/>
      <w:r w:rsidRPr="00794F30">
        <w:rPr>
          <w:rFonts w:ascii="Times New Roman" w:hAnsi="Times New Roman"/>
          <w:sz w:val="28"/>
          <w:szCs w:val="28"/>
        </w:rPr>
        <w:t xml:space="preserve"> - -</w:t>
      </w:r>
      <w:proofErr w:type="gramEnd"/>
      <w:r w:rsidRPr="00794F30">
        <w:rPr>
          <w:rFonts w:ascii="Times New Roman" w:hAnsi="Times New Roman"/>
          <w:sz w:val="28"/>
          <w:szCs w:val="28"/>
        </w:rPr>
        <w:t>педагогического исследования.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43. Основные виды изложения результатов исследования: научный отчет, научный доклад, монография, статья, тезисы научных докладов, рецензия.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44.  Особенности организации и проведения защиты научной работы.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45. Особенности этики исследовательской работы.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46. Особенности педагогического мастерства и культуры исследователя.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t>47. Особенности искусства общения и культуры поведения исследователя.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  <w:r w:rsidRPr="00794F30">
        <w:rPr>
          <w:rFonts w:ascii="Times New Roman" w:hAnsi="Times New Roman"/>
          <w:sz w:val="28"/>
          <w:szCs w:val="28"/>
        </w:rPr>
        <w:lastRenderedPageBreak/>
        <w:t>48. Основные личностные качества исследователя, их характеристика.</w:t>
      </w:r>
    </w:p>
    <w:p w:rsidR="00794F30" w:rsidRPr="00794F30" w:rsidRDefault="00794F30" w:rsidP="00794F3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94F30" w:rsidRDefault="00794F30" w:rsidP="00794F30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55B2F" w:rsidRDefault="00F316F9" w:rsidP="00356E35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A55B2F" w:rsidRPr="00356E35" w:rsidRDefault="00F316F9" w:rsidP="00356E3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Рейтинговый контроль производится в форме защиты контрольной работы с представлением презентации ее содержания в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 w:rsidR="00356E35">
        <w:rPr>
          <w:rFonts w:ascii="Times New Roman" w:hAnsi="Times New Roman"/>
          <w:sz w:val="28"/>
          <w:szCs w:val="28"/>
        </w:rPr>
        <w:t>.</w:t>
      </w:r>
    </w:p>
    <w:p w:rsidR="00A55B2F" w:rsidRDefault="00A55B2F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55B2F" w:rsidRDefault="00A55B2F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A55B2F" w:rsidRDefault="00F316F9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A55B2F" w:rsidRDefault="00F316F9">
      <w:pPr>
        <w:pStyle w:val="a3"/>
        <w:spacing w:line="312" w:lineRule="auto"/>
        <w:ind w:left="0" w:firstLine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A55B2F" w:rsidRDefault="00F316F9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Качество выполнения контрольной работы оценивается от 0 до 10 баллов: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8 баллов – тема в целом раскрыта, но недостаточно основательно, выводы присутствуют, но не все аргументированы; почти не приводятся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информация, не имеющая отношения к теме контрольной работе; авторские выводы отсутствуют; не приводятся литературные примеры, отражающие суть исследуемого предмета; работа плохо оформлена, текст</w:t>
      </w:r>
      <w:r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 балл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отсутствуют, отсутствует список литературы; очень малый объем реферата (1-2 страницы),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контрольной работы.</w:t>
      </w: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686599" w:rsidP="00686599">
      <w:pPr>
        <w:ind w:firstLine="0"/>
        <w:rPr>
          <w:rFonts w:ascii="Times New Roman" w:hAnsi="Times New Roman"/>
          <w:sz w:val="16"/>
          <w:szCs w:val="16"/>
        </w:rPr>
      </w:pPr>
    </w:p>
    <w:p w:rsidR="00686599" w:rsidRDefault="00F316F9" w:rsidP="00686599">
      <w:pPr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686599">
        <w:rPr>
          <w:rFonts w:ascii="Times New Roman" w:hAnsi="Times New Roman"/>
          <w:b/>
          <w:sz w:val="28"/>
          <w:szCs w:val="28"/>
        </w:rPr>
        <w:t>Приложение 3</w:t>
      </w:r>
    </w:p>
    <w:p w:rsidR="00A55B2F" w:rsidRPr="00686599" w:rsidRDefault="00F316F9" w:rsidP="00686599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СПИСОК</w:t>
      </w:r>
    </w:p>
    <w:p w:rsidR="00A55B2F" w:rsidRDefault="00F316F9" w:rsidP="00686599">
      <w:pPr>
        <w:spacing w:line="240" w:lineRule="auto"/>
        <w:ind w:firstLine="0"/>
        <w:jc w:val="center"/>
      </w:pPr>
      <w:r>
        <w:rPr>
          <w:rFonts w:ascii="Times New Roman" w:hAnsi="Times New Roman"/>
          <w:sz w:val="28"/>
          <w:szCs w:val="28"/>
        </w:rPr>
        <w:t xml:space="preserve">информационных ресурсов </w:t>
      </w:r>
      <w:r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686599" w:rsidRPr="00686599" w:rsidRDefault="00F316F9" w:rsidP="00686599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94F30">
        <w:rPr>
          <w:rFonts w:ascii="Times New Roman" w:hAnsi="Times New Roman"/>
          <w:b/>
          <w:i/>
          <w:sz w:val="28"/>
          <w:szCs w:val="28"/>
        </w:rPr>
        <w:t xml:space="preserve">Методология </w:t>
      </w:r>
      <w:r w:rsidR="00FC4367">
        <w:rPr>
          <w:rFonts w:ascii="Times New Roman" w:hAnsi="Times New Roman"/>
          <w:b/>
          <w:i/>
          <w:sz w:val="28"/>
          <w:szCs w:val="28"/>
        </w:rPr>
        <w:t>и методы организации психолого-педагогических исследований</w:t>
      </w:r>
      <w:bookmarkStart w:id="0" w:name="_GoBack"/>
      <w:bookmarkEnd w:id="0"/>
      <w:r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77"/>
        <w:gridCol w:w="58"/>
        <w:gridCol w:w="1651"/>
        <w:gridCol w:w="18"/>
        <w:gridCol w:w="3484"/>
        <w:gridCol w:w="52"/>
        <w:gridCol w:w="2116"/>
        <w:gridCol w:w="15"/>
        <w:gridCol w:w="1306"/>
      </w:tblGrid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after="200" w:line="276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86599" w:rsidRPr="00686599" w:rsidTr="00686599">
        <w:trPr>
          <w:trHeight w:hRule="exact" w:val="91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Спатаева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М.Х.,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Шамшуалеева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Е.Ф.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Омск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Омский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им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. Ф.М.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Достоевского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Липунова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О.В.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лиц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с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ограниченными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возможностями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здоровья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Саратов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Ар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Медиа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2019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Опевалова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Е.В.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Саратов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Ар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Медиа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2019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after="200" w:line="276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86599" w:rsidRPr="00686599" w:rsidTr="00686599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Бакунова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И.В.,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Макадей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Л.И.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коррекция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лиц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с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ограниченными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возможностями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здоровья</w:t>
            </w:r>
            <w:proofErr w:type="spellEnd"/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Ставрополь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: СКФУ, 2016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135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Зеленина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Н.Ю.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развития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лиц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с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ограниченными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возможностями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здоровья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развития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детей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с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нарушениями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эмоционально-волевой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сферы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поведения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практикум</w:t>
            </w:r>
            <w:proofErr w:type="spellEnd"/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Пермь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Пермский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гуманитарно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-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педагогический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2014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1576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8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Гусев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С.И.</w:t>
            </w:r>
          </w:p>
        </w:tc>
        <w:tc>
          <w:tcPr>
            <w:tcW w:w="3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Психолого-педагогическая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диагностика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в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социально-культурной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рекреации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практикум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для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обучающихся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направлению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подготовки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51.03.03 «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социально-культурная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деятельность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»,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профиль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«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социально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культурная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анимация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рекреация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»,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квалификация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степень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) «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бакалавр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»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Кемерово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Кемеровский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институт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культуры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2018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686599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after="200" w:line="276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lang w:val="en-US"/>
              </w:rPr>
            </w:pP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86599" w:rsidRPr="00686599" w:rsidTr="00686599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Тарасова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С.И.,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Таранова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Е.В.</w:t>
            </w:r>
          </w:p>
        </w:tc>
        <w:tc>
          <w:tcPr>
            <w:tcW w:w="35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Психодиагностические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методики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Ставрополь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Ставропольский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аграрный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ресурсов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информационно-телекоммуникационной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сети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"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Интернет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"</w:t>
            </w:r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8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Российская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8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Национальная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lastRenderedPageBreak/>
              <w:t>Э3</w:t>
            </w:r>
          </w:p>
        </w:tc>
        <w:tc>
          <w:tcPr>
            <w:tcW w:w="8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Мировая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цифровая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Э4</w:t>
            </w:r>
          </w:p>
        </w:tc>
        <w:tc>
          <w:tcPr>
            <w:tcW w:w="8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Гумер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−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гуманитарные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науки</w:t>
            </w:r>
            <w:proofErr w:type="spellEnd"/>
          </w:p>
        </w:tc>
      </w:tr>
      <w:tr w:rsidR="00686599" w:rsidRPr="00686599" w:rsidTr="00686599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информационных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справочных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систем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профессиональные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базы</w:t>
            </w:r>
            <w:proofErr w:type="spellEnd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данных</w:t>
            </w:r>
            <w:proofErr w:type="spellEnd"/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6.3.2.1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Научно-техническая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Донского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государственного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технического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университета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http://ntb.donstu.ru/</w:t>
            </w:r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6.3.2.2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диссертаций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РГБ http://diss.rsl.ru/</w:t>
            </w:r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6.3.2.3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Ресурсы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Elsevier –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ScienceDirect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и Scopus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Интернет-сайт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«Book on Lime»,</w:t>
            </w:r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6.3.2.4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«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Юрайт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» [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электронно-библиотечная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система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 http://biblio-online.ru</w:t>
            </w:r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6.3.2.5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eLIBRARY.RU [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научная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библиотека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 http://www.elibrary.ru</w:t>
            </w:r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6.3.2.6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gram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ibooks.ru[</w:t>
            </w:r>
            <w:proofErr w:type="spellStart"/>
            <w:proofErr w:type="gram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электронно-библиотечная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система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URL:http://ibooks.ru</w:t>
            </w:r>
          </w:p>
        </w:tc>
      </w:tr>
      <w:tr w:rsidR="00686599" w:rsidRPr="00686599" w:rsidTr="00686599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6.3.2.7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gram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Znanium.com[</w:t>
            </w:r>
            <w:proofErr w:type="spellStart"/>
            <w:proofErr w:type="gram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электронно-библиотечная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система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URL:http://znanium.com</w:t>
            </w:r>
          </w:p>
        </w:tc>
      </w:tr>
      <w:tr w:rsidR="00686599" w:rsidRPr="00686599" w:rsidTr="00686599">
        <w:trPr>
          <w:trHeight w:hRule="exact" w:val="279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6.3.2.8</w:t>
            </w:r>
          </w:p>
        </w:tc>
        <w:tc>
          <w:tcPr>
            <w:tcW w:w="8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599" w:rsidRPr="00686599" w:rsidRDefault="00686599" w:rsidP="0034575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Социология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психология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управление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[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Электронный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ресурс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]: </w:t>
            </w:r>
            <w:proofErr w:type="spellStart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электроннаябиблиотека</w:t>
            </w:r>
            <w:proofErr w:type="spellEnd"/>
            <w:r w:rsidRPr="00686599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. – URL: http://soc.lib.ru</w:t>
            </w:r>
          </w:p>
        </w:tc>
      </w:tr>
    </w:tbl>
    <w:p w:rsidR="00686599" w:rsidRDefault="00686599" w:rsidP="00686599">
      <w:pPr>
        <w:suppressAutoHyphens w:val="0"/>
        <w:autoSpaceDN/>
        <w:spacing w:after="200" w:line="276" w:lineRule="auto"/>
        <w:ind w:firstLine="0"/>
        <w:jc w:val="left"/>
        <w:textAlignment w:val="auto"/>
        <w:rPr>
          <w:rFonts w:asciiTheme="minorHAnsi" w:eastAsiaTheme="minorEastAsia" w:hAnsiTheme="minorHAnsi" w:cstheme="minorBidi"/>
        </w:rPr>
      </w:pPr>
    </w:p>
    <w:p w:rsidR="00686599" w:rsidRPr="00686599" w:rsidRDefault="00686599" w:rsidP="00686599">
      <w:pPr>
        <w:suppressAutoHyphens w:val="0"/>
        <w:autoSpaceDN/>
        <w:spacing w:after="200" w:line="276" w:lineRule="auto"/>
        <w:ind w:firstLine="0"/>
        <w:jc w:val="left"/>
        <w:textAlignment w:val="auto"/>
        <w:rPr>
          <w:rFonts w:asciiTheme="minorHAnsi" w:eastAsiaTheme="minorEastAsia" w:hAnsiTheme="minorHAnsi" w:cstheme="minorBidi"/>
          <w:sz w:val="0"/>
          <w:szCs w:val="0"/>
        </w:rPr>
      </w:pPr>
    </w:p>
    <w:p w:rsidR="00A55B2F" w:rsidRDefault="00F316F9">
      <w:pPr>
        <w:spacing w:line="240" w:lineRule="auto"/>
        <w:ind w:firstLine="0"/>
        <w:jc w:val="right"/>
      </w:pPr>
      <w:r>
        <w:rPr>
          <w:rFonts w:ascii="Times New Roman" w:hAnsi="Times New Roman"/>
          <w:b/>
          <w:sz w:val="28"/>
        </w:rPr>
        <w:t>Приложение 4</w:t>
      </w:r>
    </w:p>
    <w:p w:rsidR="00A55B2F" w:rsidRDefault="00A55B2F">
      <w:pPr>
        <w:ind w:firstLine="0"/>
        <w:jc w:val="right"/>
        <w:rPr>
          <w:rFonts w:ascii="Times New Roman" w:hAnsi="Times New Roman"/>
          <w:b/>
          <w:sz w:val="28"/>
        </w:rPr>
      </w:pPr>
    </w:p>
    <w:p w:rsidR="00A55B2F" w:rsidRDefault="00F316F9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Проработка тематики контрольной работы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Поиск необходимых источников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Структурирование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Реализация каркаса презентации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Добавление необходимых средств визуализации (спецэффекты, звук, видео и т.п.)</w:t>
      </w:r>
    </w:p>
    <w:p w:rsidR="00A55B2F" w:rsidRDefault="00F316F9" w:rsidP="00356E35">
      <w:pPr>
        <w:spacing w:line="240" w:lineRule="auto"/>
        <w:contextualSpacing/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A55B2F" w:rsidSect="00356E35">
      <w:type w:val="continuous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17A" w:rsidRDefault="002A417A">
      <w:pPr>
        <w:spacing w:line="240" w:lineRule="auto"/>
      </w:pPr>
      <w:r>
        <w:separator/>
      </w:r>
    </w:p>
  </w:endnote>
  <w:endnote w:type="continuationSeparator" w:id="0">
    <w:p w:rsidR="002A417A" w:rsidRDefault="002A4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17A" w:rsidRDefault="002A417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2A417A" w:rsidRDefault="002A41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2DD"/>
    <w:multiLevelType w:val="multilevel"/>
    <w:tmpl w:val="45148C0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>
    <w:nsid w:val="216D174F"/>
    <w:multiLevelType w:val="multilevel"/>
    <w:tmpl w:val="B55C1686"/>
    <w:lvl w:ilvl="0"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">
    <w:nsid w:val="760573A6"/>
    <w:multiLevelType w:val="multilevel"/>
    <w:tmpl w:val="DDE402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5B2F"/>
    <w:rsid w:val="00044E52"/>
    <w:rsid w:val="002A417A"/>
    <w:rsid w:val="002D17E6"/>
    <w:rsid w:val="002F24ED"/>
    <w:rsid w:val="00356E35"/>
    <w:rsid w:val="00447160"/>
    <w:rsid w:val="00686599"/>
    <w:rsid w:val="00794F30"/>
    <w:rsid w:val="00A55B2F"/>
    <w:rsid w:val="00CB54D8"/>
    <w:rsid w:val="00CC5E6B"/>
    <w:rsid w:val="00F316F9"/>
    <w:rsid w:val="00FC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2450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dc:description/>
  <cp:lastModifiedBy>днс</cp:lastModifiedBy>
  <cp:revision>8</cp:revision>
  <dcterms:created xsi:type="dcterms:W3CDTF">2021-12-19T08:26:00Z</dcterms:created>
  <dcterms:modified xsi:type="dcterms:W3CDTF">2024-06-02T13:26:00Z</dcterms:modified>
</cp:coreProperties>
</file>